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1034" w14:textId="4FB96FBD" w:rsidR="00C66E2D" w:rsidRDefault="00C85721" w:rsidP="00C66E2D">
      <w:pPr>
        <w:spacing w:after="0" w:afterAutospacing="0" w:line="84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</w:t>
      </w:r>
    </w:p>
    <w:p w14:paraId="0CE16A08" w14:textId="6A73A517" w:rsidR="00C85721" w:rsidRPr="00E273CF" w:rsidRDefault="00C85721" w:rsidP="003E28A3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</w:t>
      </w:r>
    </w:p>
    <w:p w14:paraId="215E4A9D" w14:textId="77777777" w:rsidR="003E28A3" w:rsidRDefault="003E28A3" w:rsidP="003E28A3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rFonts w:cstheme="minorHAnsi"/>
          <w:color w:val="000000"/>
          <w:sz w:val="28"/>
          <w:szCs w:val="28"/>
          <w:lang w:val="ru-RU"/>
        </w:rPr>
        <w:t>Утверждена приказом</w:t>
      </w:r>
    </w:p>
    <w:p w14:paraId="5259FDEF" w14:textId="77777777" w:rsidR="00253B25" w:rsidRDefault="003E28A3" w:rsidP="00734AF1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                         МКУ </w:t>
      </w:r>
      <w:r w:rsidR="00253B25">
        <w:rPr>
          <w:rFonts w:cstheme="minorHAnsi"/>
          <w:color w:val="000000"/>
          <w:sz w:val="28"/>
          <w:szCs w:val="28"/>
          <w:lang w:val="ru-RU"/>
        </w:rPr>
        <w:t>Методический</w:t>
      </w:r>
    </w:p>
    <w:p w14:paraId="05FC1A74" w14:textId="11EE7F8F" w:rsidR="00734AF1" w:rsidRDefault="00253B25" w:rsidP="00734AF1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Центр </w:t>
      </w:r>
      <w:r w:rsidR="00734AF1">
        <w:rPr>
          <w:rFonts w:cstheme="minorHAnsi"/>
          <w:color w:val="000000"/>
          <w:sz w:val="28"/>
          <w:szCs w:val="28"/>
          <w:lang w:val="ru-RU"/>
        </w:rPr>
        <w:t>Управлени</w:t>
      </w:r>
      <w:r>
        <w:rPr>
          <w:rFonts w:cstheme="minorHAnsi"/>
          <w:color w:val="000000"/>
          <w:sz w:val="28"/>
          <w:szCs w:val="28"/>
          <w:lang w:val="ru-RU"/>
        </w:rPr>
        <w:t>я</w:t>
      </w:r>
      <w:r w:rsidR="00734AF1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619790D5" w14:textId="38FABB9C" w:rsidR="003E28A3" w:rsidRDefault="00734AF1" w:rsidP="00734AF1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образования Балаганского района</w:t>
      </w:r>
    </w:p>
    <w:p w14:paraId="0E9C257B" w14:textId="5645D2EB" w:rsidR="003E28A3" w:rsidRDefault="003E28A3" w:rsidP="003E28A3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№</w:t>
      </w:r>
      <w:r w:rsidR="0058145B">
        <w:rPr>
          <w:rFonts w:cstheme="minorHAnsi"/>
          <w:color w:val="000000"/>
          <w:sz w:val="28"/>
          <w:szCs w:val="28"/>
          <w:lang w:val="ru-RU"/>
        </w:rPr>
        <w:t>15 от 24.03.2021г.</w:t>
      </w: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14:paraId="3F398894" w14:textId="77777777" w:rsidR="00C85721" w:rsidRPr="00E273CF" w:rsidRDefault="00C85721" w:rsidP="00C66E2D">
      <w:pPr>
        <w:spacing w:line="72" w:lineRule="auto"/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3FDFFA74" w14:textId="77777777" w:rsidR="00C85721" w:rsidRPr="00E273CF" w:rsidRDefault="00C85721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71131C09" w14:textId="1D39723B" w:rsidR="005C05F7" w:rsidRPr="00E273CF" w:rsidRDefault="00607D4C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Учетная политика для целей налогообложения</w:t>
      </w:r>
    </w:p>
    <w:p w14:paraId="430CDAA1" w14:textId="77777777" w:rsidR="00C85721" w:rsidRPr="00E273CF" w:rsidRDefault="00C85721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052780FB" w14:textId="74CD0EDF" w:rsidR="005C05F7" w:rsidRPr="00E273CF" w:rsidRDefault="00C66E2D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Ответственным за постановку и ведение налогового учета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="003E28A3">
        <w:rPr>
          <w:rFonts w:cstheme="minorHAnsi"/>
          <w:color w:val="000000"/>
          <w:sz w:val="28"/>
          <w:szCs w:val="28"/>
          <w:lang w:val="ru-RU"/>
        </w:rPr>
        <w:t xml:space="preserve"> МКУ </w:t>
      </w:r>
      <w:r w:rsidR="00253B25">
        <w:rPr>
          <w:rFonts w:cstheme="minorHAnsi"/>
          <w:color w:val="000000"/>
          <w:sz w:val="28"/>
          <w:szCs w:val="28"/>
          <w:lang w:val="ru-RU"/>
        </w:rPr>
        <w:t xml:space="preserve">Методический центр </w:t>
      </w:r>
      <w:r w:rsidR="00734AF1">
        <w:rPr>
          <w:rFonts w:cstheme="minorHAnsi"/>
          <w:color w:val="000000"/>
          <w:sz w:val="28"/>
          <w:szCs w:val="28"/>
          <w:lang w:val="ru-RU"/>
        </w:rPr>
        <w:t>Управлени</w:t>
      </w:r>
      <w:r w:rsidR="00253B25">
        <w:rPr>
          <w:rFonts w:cstheme="minorHAnsi"/>
          <w:color w:val="000000"/>
          <w:sz w:val="28"/>
          <w:szCs w:val="28"/>
          <w:lang w:val="ru-RU"/>
        </w:rPr>
        <w:t>я</w:t>
      </w:r>
      <w:r w:rsidR="00734AF1">
        <w:rPr>
          <w:rFonts w:cstheme="minorHAnsi"/>
          <w:color w:val="000000"/>
          <w:sz w:val="28"/>
          <w:szCs w:val="28"/>
          <w:lang w:val="ru-RU"/>
        </w:rPr>
        <w:t xml:space="preserve"> образования</w:t>
      </w:r>
      <w:r w:rsidR="003E28A3">
        <w:rPr>
          <w:rFonts w:cstheme="minorHAnsi"/>
          <w:color w:val="000000"/>
          <w:sz w:val="28"/>
          <w:szCs w:val="28"/>
          <w:lang w:val="ru-RU"/>
        </w:rPr>
        <w:t xml:space="preserve"> Балаганск</w:t>
      </w:r>
      <w:r w:rsidR="00734AF1">
        <w:rPr>
          <w:rFonts w:cstheme="minorHAnsi"/>
          <w:color w:val="000000"/>
          <w:sz w:val="28"/>
          <w:szCs w:val="28"/>
          <w:lang w:val="ru-RU"/>
        </w:rPr>
        <w:t>ого</w:t>
      </w:r>
      <w:r w:rsidR="003E28A3">
        <w:rPr>
          <w:rFonts w:cstheme="minorHAnsi"/>
          <w:color w:val="000000"/>
          <w:sz w:val="28"/>
          <w:szCs w:val="28"/>
          <w:lang w:val="ru-RU"/>
        </w:rPr>
        <w:t xml:space="preserve"> район</w:t>
      </w:r>
      <w:r w:rsidR="00734AF1">
        <w:rPr>
          <w:rFonts w:cstheme="minorHAnsi"/>
          <w:color w:val="000000"/>
          <w:sz w:val="28"/>
          <w:szCs w:val="28"/>
          <w:lang w:val="ru-RU"/>
        </w:rPr>
        <w:t>а</w:t>
      </w:r>
      <w:r w:rsidR="003E28A3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 xml:space="preserve">(далее Учреждение) является Централизованная бухгалтерия муниципального образования Балаганский район (далее Централизованная бухгалтерия) на основании </w:t>
      </w:r>
      <w:proofErr w:type="gramStart"/>
      <w:r w:rsidR="002F7983" w:rsidRPr="00E273CF">
        <w:rPr>
          <w:rFonts w:cstheme="minorHAnsi"/>
          <w:color w:val="000000"/>
          <w:sz w:val="28"/>
          <w:szCs w:val="28"/>
          <w:lang w:val="ru-RU"/>
        </w:rPr>
        <w:t>соглашения  на</w:t>
      </w:r>
      <w:proofErr w:type="gramEnd"/>
      <w:r w:rsidR="002F7983" w:rsidRPr="00E273CF">
        <w:rPr>
          <w:rFonts w:cstheme="minorHAnsi"/>
          <w:color w:val="000000"/>
          <w:sz w:val="28"/>
          <w:szCs w:val="28"/>
          <w:lang w:val="ru-RU"/>
        </w:rPr>
        <w:t xml:space="preserve"> ведение централизованного </w:t>
      </w:r>
      <w:r w:rsidR="00232107">
        <w:rPr>
          <w:rFonts w:cstheme="minorHAnsi"/>
          <w:color w:val="000000"/>
          <w:sz w:val="28"/>
          <w:szCs w:val="28"/>
          <w:lang w:val="ru-RU"/>
        </w:rPr>
        <w:t>б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>ухгалтерского обслуживания от 17 апреля 2017 года.</w:t>
      </w:r>
    </w:p>
    <w:p w14:paraId="1A4B2815" w14:textId="47D061BF" w:rsidR="002F7983" w:rsidRPr="00E273CF" w:rsidRDefault="002F7983" w:rsidP="002F7983">
      <w:pPr>
        <w:ind w:left="36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0" w:name="_Hlk6740659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313 НК РФ)</w:t>
      </w:r>
    </w:p>
    <w:bookmarkEnd w:id="0"/>
    <w:p w14:paraId="429A6426" w14:textId="3E3E1257" w:rsidR="002F7983" w:rsidRPr="00E273CF" w:rsidRDefault="002F7983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Учреждение применяет общую систему налогообложения.</w:t>
      </w:r>
    </w:p>
    <w:p w14:paraId="581AEF78" w14:textId="4F5F1ECE" w:rsidR="002F7983" w:rsidRPr="00E273CF" w:rsidRDefault="002F7983" w:rsidP="002F798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313 НК РФ)</w:t>
      </w:r>
    </w:p>
    <w:p w14:paraId="0F2DB30F" w14:textId="3EABF808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Налоговый учет ведется автоматизированным способом с применением системы «Контур Экстерн»</w:t>
      </w:r>
    </w:p>
    <w:p w14:paraId="15FDB449" w14:textId="54BAD3F2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</w:t>
      </w:r>
      <w:bookmarkStart w:id="1" w:name="_Hlk6740722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313 НК РФ)</w:t>
      </w:r>
    </w:p>
    <w:bookmarkEnd w:id="1"/>
    <w:p w14:paraId="1E61D757" w14:textId="2F03E86B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учета.</w:t>
      </w:r>
    </w:p>
    <w:p w14:paraId="31E49DB4" w14:textId="3B33D4EF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314 НК РФ)</w:t>
      </w:r>
    </w:p>
    <w:p w14:paraId="4E7CB542" w14:textId="60004EDE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Налоговые регистры на бумажных носителях формируются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</w:t>
      </w:r>
      <w:r w:rsidRPr="00E273CF">
        <w:rPr>
          <w:rFonts w:cstheme="minorHAnsi"/>
          <w:color w:val="000000"/>
          <w:sz w:val="28"/>
          <w:szCs w:val="28"/>
          <w:lang w:val="ru-RU"/>
        </w:rPr>
        <w:t>ентрализованной бухгалтерией ежеквартально.</w:t>
      </w:r>
    </w:p>
    <w:p w14:paraId="60C18B0B" w14:textId="5446066D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314 НК РФ)</w:t>
      </w:r>
    </w:p>
    <w:p w14:paraId="1D715473" w14:textId="37FB66AF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Ответственность за ведение налоговых регистров возлагается на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Централизованную бухгалтерию.</w:t>
      </w:r>
    </w:p>
    <w:p w14:paraId="58556022" w14:textId="47A54B1F" w:rsidR="00096F17" w:rsidRPr="00E273CF" w:rsidRDefault="00096F17" w:rsidP="00096F17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(</w:t>
      </w:r>
      <w:proofErr w:type="gramStart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Основание:ст.</w:t>
      </w:r>
      <w:proofErr w:type="gramEnd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314 НК РФ)</w:t>
      </w:r>
    </w:p>
    <w:p w14:paraId="2B3FC49F" w14:textId="75F3F480" w:rsidR="00096F17" w:rsidRPr="00E273CF" w:rsidRDefault="00096F17" w:rsidP="00096F17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Централизованная бухгалтерия использует электронный способ представления налоговой отчетности в налоговые органы по телекоммуникационным каналам связи. (ТКС Контур-Экстерн)</w:t>
      </w:r>
    </w:p>
    <w:p w14:paraId="2AF7BCD3" w14:textId="7D13BAE6" w:rsidR="00096F17" w:rsidRPr="00E273CF" w:rsidRDefault="00096F17" w:rsidP="00096F17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6ECA27EC" w14:textId="1057EDAA" w:rsidR="00096F17" w:rsidRPr="00E273CF" w:rsidRDefault="00096F17" w:rsidP="00096F17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ст.80 НК РФ)</w:t>
      </w:r>
    </w:p>
    <w:p w14:paraId="7C9DDE1E" w14:textId="77777777" w:rsidR="0021690E" w:rsidRPr="00E273CF" w:rsidRDefault="0021690E" w:rsidP="002F7983">
      <w:pPr>
        <w:rPr>
          <w:rFonts w:cstheme="minorHAnsi"/>
          <w:color w:val="000000"/>
          <w:sz w:val="28"/>
          <w:szCs w:val="28"/>
          <w:lang w:val="ru-RU"/>
        </w:rPr>
      </w:pPr>
    </w:p>
    <w:p w14:paraId="34BE6AE3" w14:textId="6FEEBDB6" w:rsidR="005C05F7" w:rsidRPr="00E273CF" w:rsidRDefault="00BF0BDE" w:rsidP="00BF0BDE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 </w:t>
      </w:r>
      <w:r w:rsidR="00607D4C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Земельный налог</w:t>
      </w:r>
    </w:p>
    <w:p w14:paraId="08175152" w14:textId="42B0E93D" w:rsidR="005C05F7" w:rsidRPr="00E273CF" w:rsidRDefault="00607D4C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Налогооблагаемая база по земельному налогу формируется согласно статьям 389,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390, 391 НК.  </w:t>
      </w:r>
    </w:p>
    <w:p w14:paraId="01977BE1" w14:textId="2270042B" w:rsidR="005C05F7" w:rsidRPr="00E273CF" w:rsidRDefault="00E845F3" w:rsidP="00E845F3">
      <w:pPr>
        <w:ind w:left="72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2" w:name="_Hlk67408226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607D4C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31 НК.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5AE13FC7" w14:textId="6477C871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Налоговая ставка применяется в соответствии с местным законодательством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согласно статье 394 НК. РФ</w:t>
      </w:r>
    </w:p>
    <w:bookmarkEnd w:id="2"/>
    <w:p w14:paraId="6A0066DD" w14:textId="22BDAD0E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Налоги и авансовые платежи по земельному налогу уплачиваются в местный   бюджет по местонахождению учреждения и его структурных подразделений в порядке и сроки, предусмотренные статьей 396 НК. РФ</w:t>
      </w:r>
    </w:p>
    <w:p w14:paraId="03322F13" w14:textId="30833F56" w:rsidR="00096F17" w:rsidRPr="00E273CF" w:rsidRDefault="00E845F3" w:rsidP="00096F17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</w:t>
      </w:r>
      <w:r w:rsidR="00096F17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добавленную стоимость</w:t>
      </w:r>
    </w:p>
    <w:p w14:paraId="18C0FABD" w14:textId="72F184CD" w:rsidR="00096F17" w:rsidRPr="00E273CF" w:rsidRDefault="00BF0BDE" w:rsidP="00BF0BD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E273CF">
        <w:rPr>
          <w:rFonts w:cstheme="minorHAnsi"/>
          <w:color w:val="000000"/>
          <w:sz w:val="28"/>
          <w:szCs w:val="28"/>
          <w:lang w:val="ru-RU"/>
        </w:rPr>
        <w:t xml:space="preserve">Учреждение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н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е</w:t>
      </w:r>
      <w:proofErr w:type="gramEnd"/>
      <w:r w:rsidR="00096F17" w:rsidRPr="00E273CF">
        <w:rPr>
          <w:rFonts w:cstheme="minorHAnsi"/>
          <w:color w:val="000000"/>
          <w:sz w:val="28"/>
          <w:szCs w:val="28"/>
          <w:lang w:val="ru-RU"/>
        </w:rPr>
        <w:t xml:space="preserve"> является плательщиком НДС</w:t>
      </w:r>
      <w:r w:rsidRPr="00E273CF">
        <w:rPr>
          <w:rFonts w:cstheme="minorHAnsi"/>
          <w:color w:val="000000"/>
          <w:sz w:val="28"/>
          <w:szCs w:val="28"/>
          <w:lang w:val="ru-RU"/>
        </w:rPr>
        <w:t>.</w:t>
      </w:r>
    </w:p>
    <w:p w14:paraId="36809E71" w14:textId="7F4B132A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E2B2259" w14:textId="411E6D49" w:rsidR="00BF0BDE" w:rsidRPr="00E273CF" w:rsidRDefault="00E845F3" w:rsidP="00BF0BDE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146 НК.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23F147A5" w14:textId="7A56412E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295CACB3" w14:textId="40AA96B2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Транспортный налог</w:t>
      </w:r>
    </w:p>
    <w:p w14:paraId="7EA267C8" w14:textId="7E7E5F8D" w:rsidR="00E845F3" w:rsidRPr="00E273CF" w:rsidRDefault="00E273CF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Налогооблагаемая база формируется исходя из наличия всех </w:t>
      </w:r>
      <w:proofErr w:type="gramStart"/>
      <w:r w:rsidR="00E845F3" w:rsidRPr="00E273CF">
        <w:rPr>
          <w:rFonts w:cstheme="minorHAnsi"/>
          <w:color w:val="000000"/>
          <w:sz w:val="28"/>
          <w:szCs w:val="28"/>
          <w:lang w:val="ru-RU"/>
        </w:rPr>
        <w:t>транспортных  средств</w:t>
      </w:r>
      <w:proofErr w:type="gramEnd"/>
      <w:r w:rsidR="00E845F3" w:rsidRPr="00E273CF">
        <w:rPr>
          <w:rFonts w:cstheme="minorHAnsi"/>
          <w:color w:val="000000"/>
          <w:sz w:val="28"/>
          <w:szCs w:val="28"/>
          <w:lang w:val="ru-RU"/>
        </w:rPr>
        <w:t>, зарегистрированных за учреждением.</w:t>
      </w:r>
    </w:p>
    <w:p w14:paraId="131EFA05" w14:textId="0E49A0A1" w:rsidR="00E273CF" w:rsidRDefault="00E845F3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(Основание: глава 28 НК, региональный Закон «О транспортном </w:t>
      </w:r>
    </w:p>
    <w:p w14:paraId="39A40A25" w14:textId="785491C5" w:rsidR="00E273CF" w:rsidRDefault="00E273CF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налоге».)</w:t>
      </w:r>
    </w:p>
    <w:p w14:paraId="2E94EF80" w14:textId="77471F08" w:rsidR="00E845F3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Для целей настоящего пункта в налогооблагаемую базу </w:t>
      </w:r>
      <w:r>
        <w:rPr>
          <w:rFonts w:cstheme="minorHAnsi"/>
          <w:color w:val="000000"/>
          <w:sz w:val="28"/>
          <w:szCs w:val="28"/>
          <w:lang w:val="ru-RU"/>
        </w:rPr>
        <w:t xml:space="preserve">            </w:t>
      </w:r>
    </w:p>
    <w:p w14:paraId="7EDF3696" w14:textId="2A853108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proofErr w:type="gramStart"/>
      <w:r w:rsidRPr="00E273CF">
        <w:rPr>
          <w:rFonts w:cstheme="minorHAnsi"/>
          <w:color w:val="000000"/>
          <w:sz w:val="28"/>
          <w:szCs w:val="28"/>
          <w:lang w:val="ru-RU"/>
        </w:rPr>
        <w:t>включаются  транспортные</w:t>
      </w:r>
      <w:proofErr w:type="gramEnd"/>
      <w:r w:rsidRPr="00E273CF">
        <w:rPr>
          <w:rFonts w:cstheme="minorHAnsi"/>
          <w:color w:val="000000"/>
          <w:sz w:val="28"/>
          <w:szCs w:val="28"/>
          <w:lang w:val="ru-RU"/>
        </w:rPr>
        <w:t xml:space="preserve"> средства, находящиеся на ремонте и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64D4B378" w14:textId="35F32839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подлежащие списанию, до момента снятия транспортного </w:t>
      </w:r>
      <w:r>
        <w:rPr>
          <w:rFonts w:cstheme="minorHAnsi"/>
          <w:color w:val="000000"/>
          <w:sz w:val="28"/>
          <w:szCs w:val="28"/>
          <w:lang w:val="ru-RU"/>
        </w:rPr>
        <w:t xml:space="preserve">  </w:t>
      </w:r>
    </w:p>
    <w:p w14:paraId="7B15ADF0" w14:textId="4A5B484F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средства с учета или исключения из госреестра в соответствии с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33A335EA" w14:textId="0EAE1729" w:rsidR="00E273CF" w:rsidRP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>законодательством России.</w:t>
      </w:r>
    </w:p>
    <w:p w14:paraId="0C7D2FFE" w14:textId="699D298B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имущество организаций</w:t>
      </w:r>
    </w:p>
    <w:p w14:paraId="1AD8506C" w14:textId="19C4EEFA" w:rsidR="00E845F3" w:rsidRPr="00E273CF" w:rsidRDefault="003E28A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>Учреждение является плательщиком налога на имущество. Перечень объектов   налогообложения определять в соответствии со статьей 374 НК. Учреждение применяет льготы в соответствии с законодательством региона.</w:t>
      </w:r>
    </w:p>
    <w:p w14:paraId="28787E02" w14:textId="77777777" w:rsidR="00E845F3" w:rsidRPr="00E273CF" w:rsidRDefault="00E845F3" w:rsidP="00E845F3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06C63E84" w14:textId="1CE40E3E" w:rsidR="00E845F3" w:rsidRPr="00E273CF" w:rsidRDefault="00E845F3" w:rsidP="00E845F3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глава 30 НК.)</w:t>
      </w:r>
    </w:p>
    <w:p w14:paraId="04910ED4" w14:textId="3310BE91" w:rsidR="00E845F3" w:rsidRPr="00E273CF" w:rsidRDefault="003E28A3" w:rsidP="00E273CF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Налоговая ставка применяется в соответствии с законодательством 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  </w:t>
      </w:r>
    </w:p>
    <w:p w14:paraId="2529E0C9" w14:textId="228EAC20" w:rsidR="00E273CF" w:rsidRPr="00E273CF" w:rsidRDefault="00E273CF" w:rsidP="00E273CF">
      <w:pPr>
        <w:pStyle w:val="a3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региона.</w:t>
      </w:r>
    </w:p>
    <w:p w14:paraId="59F51D16" w14:textId="25F75DE0" w:rsidR="00BF0BDE" w:rsidRPr="00E273CF" w:rsidRDefault="00E845F3" w:rsidP="00E845F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статья 372 НК.)</w:t>
      </w:r>
    </w:p>
    <w:p w14:paraId="13B20D08" w14:textId="465B5A5E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доходы физических лиц</w:t>
      </w:r>
    </w:p>
    <w:p w14:paraId="15CE31B6" w14:textId="7ECB44DB" w:rsidR="00BF0BDE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14:paraId="5328D5EE" w14:textId="1D592FC4" w:rsidR="00BF0BDE" w:rsidRPr="00E273CF" w:rsidRDefault="00E845F3" w:rsidP="00BF0BD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п.3 ст.</w:t>
      </w:r>
      <w:proofErr w:type="gramStart"/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218,ст.</w:t>
      </w:r>
      <w:proofErr w:type="gramEnd"/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,ст.,219,220 НК РФ)</w:t>
      </w:r>
    </w:p>
    <w:p w14:paraId="1C047549" w14:textId="77777777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6411A14" w14:textId="77777777" w:rsidR="005C05F7" w:rsidRPr="00E273CF" w:rsidRDefault="005C05F7">
      <w:pPr>
        <w:rPr>
          <w:rFonts w:cstheme="minorHAnsi"/>
          <w:color w:val="000000"/>
          <w:sz w:val="28"/>
          <w:szCs w:val="28"/>
          <w:lang w:val="ru-RU"/>
        </w:rPr>
      </w:pPr>
    </w:p>
    <w:p w14:paraId="3A925C1D" w14:textId="682ECEBD" w:rsidR="005C05F7" w:rsidRPr="00232107" w:rsidRDefault="00607D4C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Главный </w:t>
      </w:r>
      <w:proofErr w:type="gramStart"/>
      <w:r w:rsidRPr="00E273CF">
        <w:rPr>
          <w:rFonts w:cstheme="minorHAnsi"/>
          <w:color w:val="000000"/>
          <w:sz w:val="28"/>
          <w:szCs w:val="28"/>
          <w:lang w:val="ru-RU"/>
        </w:rPr>
        <w:t xml:space="preserve">бухгалтер </w:t>
      </w:r>
      <w:r w:rsidRPr="00E273CF">
        <w:rPr>
          <w:rFonts w:cstheme="minorHAnsi"/>
          <w:color w:val="000000"/>
          <w:sz w:val="28"/>
          <w:szCs w:val="28"/>
        </w:rPr>
        <w:t> </w:t>
      </w:r>
      <w:r w:rsidRPr="00E273CF">
        <w:rPr>
          <w:rFonts w:cstheme="minorHAnsi"/>
          <w:color w:val="000000"/>
          <w:sz w:val="28"/>
          <w:szCs w:val="28"/>
          <w:lang w:val="ru-RU"/>
        </w:rPr>
        <w:t>_</w:t>
      </w:r>
      <w:proofErr w:type="gramEnd"/>
      <w:r w:rsidRPr="00E273CF">
        <w:rPr>
          <w:rFonts w:cstheme="minorHAnsi"/>
          <w:color w:val="000000"/>
          <w:sz w:val="28"/>
          <w:szCs w:val="28"/>
          <w:lang w:val="ru-RU"/>
        </w:rPr>
        <w:t xml:space="preserve">____________ </w:t>
      </w:r>
      <w:proofErr w:type="spellStart"/>
      <w:r w:rsidR="00232107">
        <w:rPr>
          <w:rFonts w:cstheme="minorHAnsi"/>
          <w:color w:val="000000"/>
          <w:sz w:val="28"/>
          <w:szCs w:val="28"/>
          <w:lang w:val="ru-RU"/>
        </w:rPr>
        <w:t>Убинина</w:t>
      </w:r>
      <w:proofErr w:type="spellEnd"/>
      <w:r w:rsidR="00232107">
        <w:rPr>
          <w:rFonts w:cstheme="minorHAnsi"/>
          <w:color w:val="000000"/>
          <w:sz w:val="28"/>
          <w:szCs w:val="28"/>
          <w:lang w:val="ru-RU"/>
        </w:rPr>
        <w:t xml:space="preserve"> А.А.</w:t>
      </w:r>
    </w:p>
    <w:sectPr w:rsidR="005C05F7" w:rsidRPr="00232107" w:rsidSect="005C05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E6D21"/>
    <w:multiLevelType w:val="hybridMultilevel"/>
    <w:tmpl w:val="8FE2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92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04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16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65BF"/>
    <w:rsid w:val="000115F3"/>
    <w:rsid w:val="00096F17"/>
    <w:rsid w:val="0021690E"/>
    <w:rsid w:val="00232107"/>
    <w:rsid w:val="00253B25"/>
    <w:rsid w:val="002D33B1"/>
    <w:rsid w:val="002D3591"/>
    <w:rsid w:val="002F7983"/>
    <w:rsid w:val="003514A0"/>
    <w:rsid w:val="003E28A3"/>
    <w:rsid w:val="004F7E17"/>
    <w:rsid w:val="00554F0F"/>
    <w:rsid w:val="0058145B"/>
    <w:rsid w:val="005A05CE"/>
    <w:rsid w:val="005C05F7"/>
    <w:rsid w:val="005E1A3C"/>
    <w:rsid w:val="00607D4C"/>
    <w:rsid w:val="00653AF6"/>
    <w:rsid w:val="00734AF1"/>
    <w:rsid w:val="00B73A5A"/>
    <w:rsid w:val="00BF0BDE"/>
    <w:rsid w:val="00C66E2D"/>
    <w:rsid w:val="00C85721"/>
    <w:rsid w:val="00E273CF"/>
    <w:rsid w:val="00E438A1"/>
    <w:rsid w:val="00E845F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FF"/>
  <w15:docId w15:val="{0E6CB942-C047-43CA-B53C-B0AEF89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Гав.Бух</cp:lastModifiedBy>
  <cp:revision>11</cp:revision>
  <cp:lastPrinted>2021-03-23T08:57:00Z</cp:lastPrinted>
  <dcterms:created xsi:type="dcterms:W3CDTF">2020-11-27T05:27:00Z</dcterms:created>
  <dcterms:modified xsi:type="dcterms:W3CDTF">2021-04-12T01:43:00Z</dcterms:modified>
</cp:coreProperties>
</file>